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86C7" w14:textId="77777777" w:rsidR="004659BE" w:rsidRPr="00371C9A" w:rsidRDefault="004659BE" w:rsidP="004659BE">
      <w:pPr>
        <w:ind w:right="-755"/>
        <w:jc w:val="center"/>
        <w:rPr>
          <w:rFonts w:ascii="Book Antiqua" w:hAnsi="Book Antiqua"/>
          <w:sz w:val="20"/>
          <w:szCs w:val="20"/>
        </w:rPr>
      </w:pPr>
    </w:p>
    <w:p w14:paraId="21F7F1F4" w14:textId="77777777" w:rsidR="004659BE" w:rsidRPr="00371C9A" w:rsidRDefault="004659BE" w:rsidP="004659BE">
      <w:pPr>
        <w:ind w:right="-755"/>
        <w:jc w:val="center"/>
        <w:rPr>
          <w:rFonts w:ascii="Book Antiqua" w:hAnsi="Book Antiqua"/>
          <w:sz w:val="20"/>
          <w:szCs w:val="20"/>
        </w:rPr>
      </w:pPr>
    </w:p>
    <w:p w14:paraId="793B0DB0" w14:textId="64F83AE3" w:rsidR="004659BE" w:rsidRPr="00CA56AB" w:rsidRDefault="004659BE" w:rsidP="004659BE">
      <w:pPr>
        <w:ind w:right="-755"/>
        <w:jc w:val="center"/>
        <w:rPr>
          <w:rFonts w:ascii="Book Antiqua" w:hAnsi="Book Antiqua"/>
          <w:sz w:val="52"/>
          <w:szCs w:val="52"/>
        </w:rPr>
      </w:pPr>
      <w:r w:rsidRPr="00CA56AB">
        <w:rPr>
          <w:rFonts w:ascii="Book Antiqua" w:hAnsi="Book Antiqua"/>
          <w:sz w:val="52"/>
          <w:szCs w:val="52"/>
        </w:rPr>
        <w:t>INNOKAIZ INDIA LIMITED</w:t>
      </w:r>
    </w:p>
    <w:p w14:paraId="557227D4" w14:textId="4CDB1AD7" w:rsidR="00CA56AB" w:rsidRPr="00371C9A" w:rsidRDefault="00CA56AB" w:rsidP="004659BE">
      <w:pPr>
        <w:ind w:right="-755"/>
        <w:jc w:val="center"/>
        <w:rPr>
          <w:rFonts w:ascii="Book Antiqua" w:hAnsi="Book Antiqua"/>
          <w:sz w:val="44"/>
          <w:szCs w:val="44"/>
        </w:rPr>
      </w:pPr>
      <w:r>
        <w:rPr>
          <w:rFonts w:ascii="Book Antiqua" w:hAnsi="Book Antiqua"/>
          <w:sz w:val="44"/>
          <w:szCs w:val="44"/>
        </w:rPr>
        <w:t xml:space="preserve">CIN: </w:t>
      </w:r>
      <w:r w:rsidRPr="00CA56AB">
        <w:rPr>
          <w:rFonts w:ascii="Book Antiqua" w:hAnsi="Book Antiqua"/>
          <w:sz w:val="44"/>
          <w:szCs w:val="44"/>
        </w:rPr>
        <w:t>U74900TN2013PLC089349</w:t>
      </w:r>
    </w:p>
    <w:p w14:paraId="4A293C2D" w14:textId="77777777" w:rsidR="004659BE" w:rsidRPr="00371C9A" w:rsidRDefault="004659BE">
      <w:pPr>
        <w:ind w:right="-755"/>
        <w:rPr>
          <w:rFonts w:ascii="Book Antiqua" w:hAnsi="Book Antiqua"/>
          <w:sz w:val="44"/>
          <w:szCs w:val="44"/>
        </w:rPr>
      </w:pPr>
    </w:p>
    <w:p w14:paraId="0F7B7A38" w14:textId="77777777" w:rsidR="004659BE" w:rsidRPr="00371C9A" w:rsidRDefault="004659BE">
      <w:pPr>
        <w:ind w:right="-755"/>
        <w:rPr>
          <w:rFonts w:ascii="Book Antiqua" w:hAnsi="Book Antiqua"/>
          <w:sz w:val="44"/>
          <w:szCs w:val="44"/>
        </w:rPr>
      </w:pPr>
    </w:p>
    <w:p w14:paraId="22EA6595" w14:textId="0F9ECC6B" w:rsidR="004659BE" w:rsidRPr="00371C9A" w:rsidRDefault="006A751C" w:rsidP="004659BE">
      <w:pPr>
        <w:ind w:right="-755"/>
        <w:jc w:val="center"/>
        <w:rPr>
          <w:rFonts w:ascii="Book Antiqua" w:hAnsi="Book Antiqua"/>
          <w:sz w:val="44"/>
          <w:szCs w:val="44"/>
        </w:rPr>
      </w:pPr>
      <w:r w:rsidRPr="006A751C">
        <w:rPr>
          <w:rFonts w:ascii="Book Antiqua" w:hAnsi="Book Antiqua"/>
          <w:sz w:val="44"/>
          <w:szCs w:val="44"/>
        </w:rPr>
        <w:t>POLICY FOR DETERMINING MATERIAL SUBSIDIARY</w:t>
      </w:r>
    </w:p>
    <w:p w14:paraId="3001627F" w14:textId="77777777" w:rsidR="004659BE" w:rsidRPr="00371C9A" w:rsidRDefault="004659BE">
      <w:pPr>
        <w:ind w:right="-755"/>
        <w:rPr>
          <w:rFonts w:ascii="Book Antiqua" w:hAnsi="Book Antiqua"/>
          <w:sz w:val="44"/>
          <w:szCs w:val="44"/>
        </w:rPr>
      </w:pPr>
      <w:r w:rsidRPr="00371C9A">
        <w:rPr>
          <w:rFonts w:ascii="Book Antiqua" w:hAnsi="Book Antiqua"/>
          <w:sz w:val="44"/>
          <w:szCs w:val="44"/>
        </w:rPr>
        <w:br w:type="page"/>
      </w:r>
    </w:p>
    <w:p w14:paraId="56374D53" w14:textId="15CF08F9" w:rsidR="006A751C" w:rsidRDefault="006A751C" w:rsidP="006A751C">
      <w:pPr>
        <w:spacing w:after="0"/>
        <w:ind w:right="-755"/>
        <w:jc w:val="center"/>
        <w:rPr>
          <w:rFonts w:ascii="Book Antiqua" w:hAnsi="Book Antiqua"/>
          <w:b/>
          <w:bCs/>
          <w:sz w:val="20"/>
          <w:szCs w:val="20"/>
        </w:rPr>
      </w:pPr>
      <w:r w:rsidRPr="006A751C">
        <w:rPr>
          <w:rFonts w:ascii="Book Antiqua" w:hAnsi="Book Antiqua"/>
          <w:b/>
          <w:bCs/>
          <w:sz w:val="20"/>
          <w:szCs w:val="20"/>
        </w:rPr>
        <w:lastRenderedPageBreak/>
        <w:t>POLICY FOR DETERMINING MATERIAL SUBSIDIARY</w:t>
      </w:r>
    </w:p>
    <w:p w14:paraId="2C463E67" w14:textId="77777777" w:rsidR="006A751C" w:rsidRDefault="006A751C" w:rsidP="00042586">
      <w:pPr>
        <w:spacing w:after="0"/>
        <w:ind w:right="-755"/>
        <w:jc w:val="both"/>
        <w:rPr>
          <w:rFonts w:ascii="Book Antiqua" w:hAnsi="Book Antiqua"/>
          <w:b/>
          <w:bCs/>
          <w:sz w:val="20"/>
          <w:szCs w:val="20"/>
        </w:rPr>
      </w:pPr>
    </w:p>
    <w:p w14:paraId="084B06B6" w14:textId="77777777" w:rsidR="006A751C" w:rsidRDefault="006A751C" w:rsidP="00042586">
      <w:pPr>
        <w:spacing w:after="0"/>
        <w:ind w:right="-755"/>
        <w:jc w:val="both"/>
        <w:rPr>
          <w:rFonts w:ascii="Book Antiqua" w:hAnsi="Book Antiqua"/>
          <w:b/>
          <w:bCs/>
          <w:sz w:val="20"/>
          <w:szCs w:val="20"/>
        </w:rPr>
      </w:pPr>
    </w:p>
    <w:p w14:paraId="404A2B30" w14:textId="022F79B5" w:rsidR="006A751C" w:rsidRDefault="006A751C" w:rsidP="00042586">
      <w:pPr>
        <w:spacing w:after="0"/>
        <w:ind w:right="-755"/>
        <w:jc w:val="both"/>
        <w:rPr>
          <w:rFonts w:ascii="Book Antiqua" w:hAnsi="Book Antiqua"/>
          <w:sz w:val="20"/>
          <w:szCs w:val="20"/>
        </w:rPr>
      </w:pPr>
      <w:r w:rsidRPr="006A751C">
        <w:rPr>
          <w:rFonts w:ascii="Book Antiqua" w:hAnsi="Book Antiqua"/>
          <w:sz w:val="20"/>
          <w:szCs w:val="20"/>
        </w:rPr>
        <w:t xml:space="preserve">The INNOKAIZ INDIA LIMITED (“Company”) has formulated this policy for determining material subsidiary of the Company in accordance with Regulation 16(1)(c) of the SEBI (Listing Obligations and Disclosure Requirements) Regulations, 2015 (“Listing Regulations”), which required every listed company to formulate a policy for determining a “material” subsidiary and Regulation 46(2)(h) of the Listing Regulations which requires each listed company to publish such policy on its website. </w:t>
      </w:r>
    </w:p>
    <w:p w14:paraId="3C1BD60B" w14:textId="77777777" w:rsidR="006A751C" w:rsidRDefault="006A751C" w:rsidP="00042586">
      <w:pPr>
        <w:spacing w:after="0"/>
        <w:ind w:right="-755"/>
        <w:jc w:val="both"/>
        <w:rPr>
          <w:rFonts w:ascii="Book Antiqua" w:hAnsi="Book Antiqua"/>
          <w:sz w:val="20"/>
          <w:szCs w:val="20"/>
        </w:rPr>
      </w:pPr>
    </w:p>
    <w:p w14:paraId="627F30B7" w14:textId="7867AB19" w:rsidR="00042586" w:rsidRDefault="006A751C" w:rsidP="00042586">
      <w:pPr>
        <w:spacing w:after="0"/>
        <w:ind w:right="-755"/>
        <w:jc w:val="both"/>
        <w:rPr>
          <w:rFonts w:ascii="Book Antiqua" w:hAnsi="Book Antiqua"/>
          <w:sz w:val="20"/>
          <w:szCs w:val="20"/>
        </w:rPr>
      </w:pPr>
      <w:r w:rsidRPr="006A751C">
        <w:rPr>
          <w:rFonts w:ascii="Book Antiqua" w:hAnsi="Book Antiqua"/>
          <w:sz w:val="20"/>
          <w:szCs w:val="20"/>
        </w:rPr>
        <w:t>This policy for determining a material subsidiary (“Policy”) of the Company has been prepared and adopted in accordance with the Listing Regulations.</w:t>
      </w:r>
    </w:p>
    <w:p w14:paraId="7E0A5916" w14:textId="77777777" w:rsidR="006A751C" w:rsidRDefault="006A751C" w:rsidP="00042586">
      <w:pPr>
        <w:spacing w:after="0"/>
        <w:ind w:right="-755"/>
        <w:jc w:val="both"/>
        <w:rPr>
          <w:rFonts w:ascii="Book Antiqua" w:hAnsi="Book Antiqua"/>
          <w:sz w:val="20"/>
          <w:szCs w:val="20"/>
        </w:rPr>
      </w:pPr>
    </w:p>
    <w:p w14:paraId="5953ECFC" w14:textId="3A0C3FB4" w:rsidR="006A751C" w:rsidRDefault="006A751C" w:rsidP="00042586">
      <w:pPr>
        <w:spacing w:after="0"/>
        <w:ind w:right="-755"/>
        <w:jc w:val="both"/>
        <w:rPr>
          <w:rFonts w:ascii="Book Antiqua" w:hAnsi="Book Antiqua"/>
          <w:sz w:val="20"/>
          <w:szCs w:val="20"/>
        </w:rPr>
      </w:pPr>
      <w:r w:rsidRPr="006A751C">
        <w:rPr>
          <w:rFonts w:ascii="Book Antiqua" w:hAnsi="Book Antiqua"/>
          <w:sz w:val="20"/>
          <w:szCs w:val="20"/>
        </w:rPr>
        <w:t>OBJECTIVE OF THE POLICY:</w:t>
      </w:r>
    </w:p>
    <w:p w14:paraId="7D6230BF" w14:textId="77777777" w:rsidR="006A751C" w:rsidRDefault="006A751C" w:rsidP="00042586">
      <w:pPr>
        <w:spacing w:after="0"/>
        <w:ind w:right="-755"/>
        <w:jc w:val="both"/>
        <w:rPr>
          <w:rFonts w:ascii="Book Antiqua" w:hAnsi="Book Antiqua"/>
          <w:sz w:val="20"/>
          <w:szCs w:val="20"/>
        </w:rPr>
      </w:pPr>
    </w:p>
    <w:p w14:paraId="496A2624" w14:textId="77777777" w:rsidR="006A751C" w:rsidRDefault="006A751C" w:rsidP="00042586">
      <w:pPr>
        <w:spacing w:after="0"/>
        <w:ind w:right="-755"/>
        <w:jc w:val="both"/>
        <w:rPr>
          <w:rFonts w:ascii="Book Antiqua" w:hAnsi="Book Antiqua"/>
          <w:sz w:val="20"/>
          <w:szCs w:val="20"/>
        </w:rPr>
      </w:pPr>
      <w:r w:rsidRPr="006A751C">
        <w:rPr>
          <w:rFonts w:ascii="Book Antiqua" w:hAnsi="Book Antiqua"/>
          <w:sz w:val="20"/>
          <w:szCs w:val="20"/>
        </w:rPr>
        <w:t xml:space="preserve">The objective of this Policy is to determine: </w:t>
      </w:r>
    </w:p>
    <w:p w14:paraId="04758D82" w14:textId="2CC2787D" w:rsidR="006A751C" w:rsidRPr="006A751C" w:rsidRDefault="006A751C" w:rsidP="006A751C">
      <w:pPr>
        <w:pStyle w:val="ListParagraph"/>
        <w:numPr>
          <w:ilvl w:val="0"/>
          <w:numId w:val="5"/>
        </w:numPr>
        <w:spacing w:after="0"/>
        <w:ind w:right="-755"/>
        <w:jc w:val="both"/>
        <w:rPr>
          <w:rFonts w:ascii="Book Antiqua" w:hAnsi="Book Antiqua"/>
          <w:sz w:val="20"/>
          <w:szCs w:val="20"/>
        </w:rPr>
      </w:pPr>
      <w:r w:rsidRPr="006A751C">
        <w:rPr>
          <w:rFonts w:ascii="Book Antiqua" w:hAnsi="Book Antiqua"/>
          <w:sz w:val="20"/>
          <w:szCs w:val="20"/>
        </w:rPr>
        <w:t xml:space="preserve">Meaning of Material Subsidiary; </w:t>
      </w:r>
    </w:p>
    <w:p w14:paraId="6BE00902" w14:textId="77777777" w:rsidR="006A751C" w:rsidRDefault="006A751C" w:rsidP="006A751C">
      <w:pPr>
        <w:pStyle w:val="ListParagraph"/>
        <w:numPr>
          <w:ilvl w:val="0"/>
          <w:numId w:val="5"/>
        </w:numPr>
        <w:spacing w:after="0"/>
        <w:ind w:right="-755"/>
        <w:jc w:val="both"/>
        <w:rPr>
          <w:rFonts w:ascii="Book Antiqua" w:hAnsi="Book Antiqua"/>
          <w:sz w:val="20"/>
          <w:szCs w:val="20"/>
        </w:rPr>
      </w:pPr>
      <w:r w:rsidRPr="006A751C">
        <w:rPr>
          <w:rFonts w:ascii="Book Antiqua" w:hAnsi="Book Antiqua"/>
          <w:sz w:val="20"/>
          <w:szCs w:val="20"/>
        </w:rPr>
        <w:t xml:space="preserve">Requirement of Independent Director in certain Material Unlisted Indian Subsidiaries; </w:t>
      </w:r>
    </w:p>
    <w:p w14:paraId="14434FE0" w14:textId="77777777" w:rsidR="006A751C" w:rsidRDefault="006A751C" w:rsidP="006A751C">
      <w:pPr>
        <w:pStyle w:val="ListParagraph"/>
        <w:numPr>
          <w:ilvl w:val="0"/>
          <w:numId w:val="5"/>
        </w:numPr>
        <w:spacing w:after="0"/>
        <w:ind w:right="-755"/>
        <w:jc w:val="both"/>
        <w:rPr>
          <w:rFonts w:ascii="Book Antiqua" w:hAnsi="Book Antiqua"/>
          <w:sz w:val="20"/>
          <w:szCs w:val="20"/>
        </w:rPr>
      </w:pPr>
      <w:r w:rsidRPr="006A751C">
        <w:rPr>
          <w:rFonts w:ascii="Book Antiqua" w:hAnsi="Book Antiqua"/>
          <w:sz w:val="20"/>
          <w:szCs w:val="20"/>
        </w:rPr>
        <w:t xml:space="preserve">Restriction on disposal of shares of Material Subsidiary by the Company; </w:t>
      </w:r>
    </w:p>
    <w:p w14:paraId="529A1BA3" w14:textId="77777777" w:rsidR="006A751C" w:rsidRDefault="006A751C" w:rsidP="006A751C">
      <w:pPr>
        <w:pStyle w:val="ListParagraph"/>
        <w:numPr>
          <w:ilvl w:val="0"/>
          <w:numId w:val="5"/>
        </w:numPr>
        <w:spacing w:after="0"/>
        <w:ind w:right="-755"/>
        <w:jc w:val="both"/>
        <w:rPr>
          <w:rFonts w:ascii="Book Antiqua" w:hAnsi="Book Antiqua"/>
          <w:sz w:val="20"/>
          <w:szCs w:val="20"/>
        </w:rPr>
      </w:pPr>
      <w:r w:rsidRPr="006A751C">
        <w:rPr>
          <w:rFonts w:ascii="Book Antiqua" w:hAnsi="Book Antiqua"/>
          <w:sz w:val="20"/>
          <w:szCs w:val="20"/>
        </w:rPr>
        <w:t xml:space="preserve">Restriction on transfer of assets of Material Subsidiary; and </w:t>
      </w:r>
    </w:p>
    <w:p w14:paraId="63F71876" w14:textId="4FC7B074" w:rsidR="006A751C" w:rsidRDefault="006A751C" w:rsidP="006A751C">
      <w:pPr>
        <w:pStyle w:val="ListParagraph"/>
        <w:numPr>
          <w:ilvl w:val="0"/>
          <w:numId w:val="5"/>
        </w:numPr>
        <w:spacing w:after="0"/>
        <w:ind w:right="-755"/>
        <w:jc w:val="both"/>
        <w:rPr>
          <w:rFonts w:ascii="Book Antiqua" w:hAnsi="Book Antiqua"/>
          <w:sz w:val="20"/>
          <w:szCs w:val="20"/>
        </w:rPr>
      </w:pPr>
      <w:r w:rsidRPr="006A751C">
        <w:rPr>
          <w:rFonts w:ascii="Book Antiqua" w:hAnsi="Book Antiqua"/>
          <w:sz w:val="20"/>
          <w:szCs w:val="20"/>
        </w:rPr>
        <w:t>Disclosure requirements, under the Listing Regulations and any other laws and regulations as may be applicable to the Company.</w:t>
      </w:r>
    </w:p>
    <w:p w14:paraId="566C0288" w14:textId="77777777" w:rsidR="006A751C" w:rsidRDefault="006A751C" w:rsidP="006A751C">
      <w:pPr>
        <w:spacing w:after="0"/>
        <w:ind w:right="-755"/>
        <w:jc w:val="both"/>
        <w:rPr>
          <w:rFonts w:ascii="Book Antiqua" w:hAnsi="Book Antiqua"/>
          <w:sz w:val="20"/>
          <w:szCs w:val="20"/>
        </w:rPr>
      </w:pPr>
    </w:p>
    <w:p w14:paraId="3D088E88" w14:textId="77777777" w:rsidR="006A751C" w:rsidRPr="006A751C" w:rsidRDefault="006A751C" w:rsidP="006A751C">
      <w:pPr>
        <w:spacing w:after="0"/>
        <w:ind w:right="-755"/>
        <w:jc w:val="both"/>
        <w:rPr>
          <w:rFonts w:ascii="Book Antiqua" w:hAnsi="Book Antiqua"/>
          <w:sz w:val="20"/>
          <w:szCs w:val="20"/>
        </w:rPr>
      </w:pPr>
      <w:r w:rsidRPr="006A751C">
        <w:rPr>
          <w:rFonts w:ascii="Book Antiqua" w:hAnsi="Book Antiqua"/>
          <w:sz w:val="20"/>
          <w:szCs w:val="20"/>
        </w:rPr>
        <w:t>DEFINITIONS:</w:t>
      </w:r>
    </w:p>
    <w:p w14:paraId="12336943" w14:textId="77777777" w:rsidR="006A751C" w:rsidRDefault="006A751C" w:rsidP="006A751C">
      <w:pPr>
        <w:pStyle w:val="ListParagraph"/>
        <w:numPr>
          <w:ilvl w:val="0"/>
          <w:numId w:val="6"/>
        </w:numPr>
        <w:spacing w:after="0"/>
        <w:ind w:right="-755"/>
        <w:jc w:val="both"/>
        <w:rPr>
          <w:rFonts w:ascii="Book Antiqua" w:hAnsi="Book Antiqua"/>
          <w:sz w:val="20"/>
          <w:szCs w:val="20"/>
        </w:rPr>
      </w:pPr>
      <w:r w:rsidRPr="006A751C">
        <w:rPr>
          <w:rFonts w:ascii="Book Antiqua" w:hAnsi="Book Antiqua"/>
          <w:sz w:val="20"/>
          <w:szCs w:val="20"/>
        </w:rPr>
        <w:t>“Board” or “Board of Directors” shall mean the board of directors of the Company.</w:t>
      </w:r>
    </w:p>
    <w:p w14:paraId="0E037702" w14:textId="77777777" w:rsidR="006A751C" w:rsidRDefault="006A751C" w:rsidP="006A751C">
      <w:pPr>
        <w:pStyle w:val="ListParagraph"/>
        <w:numPr>
          <w:ilvl w:val="0"/>
          <w:numId w:val="6"/>
        </w:numPr>
        <w:spacing w:after="0"/>
        <w:ind w:right="-755"/>
        <w:jc w:val="both"/>
        <w:rPr>
          <w:rFonts w:ascii="Book Antiqua" w:hAnsi="Book Antiqua"/>
          <w:sz w:val="20"/>
          <w:szCs w:val="20"/>
        </w:rPr>
      </w:pPr>
      <w:r w:rsidRPr="006A751C">
        <w:rPr>
          <w:rFonts w:ascii="Book Antiqua" w:hAnsi="Book Antiqua"/>
          <w:sz w:val="20"/>
          <w:szCs w:val="20"/>
        </w:rPr>
        <w:t>“Control” shall include the right to appoint majority of the directors or to control the</w:t>
      </w:r>
      <w:r w:rsidRPr="006A751C">
        <w:rPr>
          <w:rFonts w:ascii="Book Antiqua" w:hAnsi="Book Antiqua"/>
          <w:sz w:val="20"/>
          <w:szCs w:val="20"/>
        </w:rPr>
        <w:t xml:space="preserve"> </w:t>
      </w:r>
      <w:r w:rsidRPr="006A751C">
        <w:rPr>
          <w:rFonts w:ascii="Book Antiqua" w:hAnsi="Book Antiqua"/>
          <w:sz w:val="20"/>
          <w:szCs w:val="20"/>
        </w:rPr>
        <w:t>management or policy decisions exercisable by a person or persons acting individually or in</w:t>
      </w:r>
      <w:r w:rsidRPr="006A751C">
        <w:rPr>
          <w:rFonts w:ascii="Book Antiqua" w:hAnsi="Book Antiqua"/>
          <w:sz w:val="20"/>
          <w:szCs w:val="20"/>
        </w:rPr>
        <w:t xml:space="preserve"> </w:t>
      </w:r>
      <w:r w:rsidRPr="006A751C">
        <w:rPr>
          <w:rFonts w:ascii="Book Antiqua" w:hAnsi="Book Antiqua"/>
          <w:sz w:val="20"/>
          <w:szCs w:val="20"/>
        </w:rPr>
        <w:t>concert, directly or indirectly, including by virtue of their shareholding or management rights</w:t>
      </w:r>
      <w:r>
        <w:rPr>
          <w:rFonts w:ascii="Book Antiqua" w:hAnsi="Book Antiqua"/>
          <w:sz w:val="20"/>
          <w:szCs w:val="20"/>
        </w:rPr>
        <w:t xml:space="preserve"> </w:t>
      </w:r>
      <w:r w:rsidRPr="006A751C">
        <w:rPr>
          <w:rFonts w:ascii="Book Antiqua" w:hAnsi="Book Antiqua"/>
          <w:sz w:val="20"/>
          <w:szCs w:val="20"/>
        </w:rPr>
        <w:t>or shareholder agreements or voting agreements or in any other manner.</w:t>
      </w:r>
    </w:p>
    <w:p w14:paraId="4CD607BA" w14:textId="77777777" w:rsidR="006A751C" w:rsidRDefault="006A751C" w:rsidP="006A751C">
      <w:pPr>
        <w:pStyle w:val="ListParagraph"/>
        <w:numPr>
          <w:ilvl w:val="0"/>
          <w:numId w:val="6"/>
        </w:numPr>
        <w:spacing w:after="0"/>
        <w:ind w:right="-755"/>
        <w:jc w:val="both"/>
        <w:rPr>
          <w:rFonts w:ascii="Book Antiqua" w:hAnsi="Book Antiqua"/>
          <w:sz w:val="20"/>
          <w:szCs w:val="20"/>
        </w:rPr>
      </w:pPr>
      <w:r w:rsidRPr="006A751C">
        <w:rPr>
          <w:rFonts w:ascii="Book Antiqua" w:hAnsi="Book Antiqua"/>
          <w:sz w:val="20"/>
          <w:szCs w:val="20"/>
        </w:rPr>
        <w:t>“Independent Director” shall have the meaning given to it in the Companies Act, 2013.</w:t>
      </w:r>
    </w:p>
    <w:p w14:paraId="6527A13B" w14:textId="77777777" w:rsidR="006A751C" w:rsidRDefault="006A751C" w:rsidP="006A751C">
      <w:pPr>
        <w:pStyle w:val="ListParagraph"/>
        <w:numPr>
          <w:ilvl w:val="0"/>
          <w:numId w:val="6"/>
        </w:numPr>
        <w:spacing w:after="0"/>
        <w:ind w:right="-755"/>
        <w:jc w:val="both"/>
        <w:rPr>
          <w:rFonts w:ascii="Book Antiqua" w:hAnsi="Book Antiqua"/>
          <w:sz w:val="20"/>
          <w:szCs w:val="20"/>
        </w:rPr>
      </w:pPr>
      <w:r w:rsidRPr="006A751C">
        <w:rPr>
          <w:rFonts w:ascii="Book Antiqua" w:hAnsi="Book Antiqua"/>
          <w:sz w:val="20"/>
          <w:szCs w:val="20"/>
        </w:rPr>
        <w:t>“Material Subsidiary” means a subsidiary, whose income or net worth exceeds twenty</w:t>
      </w:r>
      <w:r w:rsidRPr="006A751C">
        <w:rPr>
          <w:rFonts w:ascii="Book Antiqua" w:hAnsi="Book Antiqua"/>
          <w:sz w:val="20"/>
          <w:szCs w:val="20"/>
        </w:rPr>
        <w:t xml:space="preserve"> </w:t>
      </w:r>
      <w:r w:rsidRPr="006A751C">
        <w:rPr>
          <w:rFonts w:ascii="Book Antiqua" w:hAnsi="Book Antiqua"/>
          <w:sz w:val="20"/>
          <w:szCs w:val="20"/>
        </w:rPr>
        <w:t>percent (20%) of the consolidated income or net worth respectively, of the Company and its</w:t>
      </w:r>
      <w:r>
        <w:rPr>
          <w:rFonts w:ascii="Book Antiqua" w:hAnsi="Book Antiqua"/>
          <w:sz w:val="20"/>
          <w:szCs w:val="20"/>
        </w:rPr>
        <w:t xml:space="preserve"> </w:t>
      </w:r>
      <w:r w:rsidRPr="006A751C">
        <w:rPr>
          <w:rFonts w:ascii="Book Antiqua" w:hAnsi="Book Antiqua"/>
          <w:sz w:val="20"/>
          <w:szCs w:val="20"/>
        </w:rPr>
        <w:t>subsidiaries in the immediately preceding accounting year.</w:t>
      </w:r>
    </w:p>
    <w:p w14:paraId="22DDE9F6" w14:textId="77777777" w:rsidR="006A751C" w:rsidRDefault="006A751C" w:rsidP="006A751C">
      <w:pPr>
        <w:pStyle w:val="ListParagraph"/>
        <w:numPr>
          <w:ilvl w:val="0"/>
          <w:numId w:val="6"/>
        </w:numPr>
        <w:spacing w:after="0"/>
        <w:ind w:right="-755"/>
        <w:jc w:val="both"/>
        <w:rPr>
          <w:rFonts w:ascii="Book Antiqua" w:hAnsi="Book Antiqua"/>
          <w:sz w:val="20"/>
          <w:szCs w:val="20"/>
        </w:rPr>
      </w:pPr>
      <w:r w:rsidRPr="006A751C">
        <w:rPr>
          <w:rFonts w:ascii="Book Antiqua" w:hAnsi="Book Antiqua"/>
          <w:sz w:val="20"/>
          <w:szCs w:val="20"/>
        </w:rPr>
        <w:t>“Material Unlisted Subsidiary” means an unlisted Material Subsidiary.</w:t>
      </w:r>
    </w:p>
    <w:p w14:paraId="21DE6188" w14:textId="60694FA9" w:rsidR="006A751C" w:rsidRDefault="006A751C" w:rsidP="006A751C">
      <w:pPr>
        <w:pStyle w:val="ListParagraph"/>
        <w:numPr>
          <w:ilvl w:val="0"/>
          <w:numId w:val="6"/>
        </w:numPr>
        <w:spacing w:after="0"/>
        <w:ind w:right="-755"/>
        <w:jc w:val="both"/>
        <w:rPr>
          <w:rFonts w:ascii="Book Antiqua" w:hAnsi="Book Antiqua"/>
          <w:sz w:val="20"/>
          <w:szCs w:val="20"/>
        </w:rPr>
      </w:pPr>
      <w:r w:rsidRPr="006A751C">
        <w:rPr>
          <w:rFonts w:ascii="Book Antiqua" w:hAnsi="Book Antiqua"/>
          <w:sz w:val="20"/>
          <w:szCs w:val="20"/>
        </w:rPr>
        <w:t>“Significant Transaction and Arrangement” means any individual transaction or arrangement</w:t>
      </w:r>
      <w:r w:rsidRPr="006A751C">
        <w:rPr>
          <w:rFonts w:ascii="Book Antiqua" w:hAnsi="Book Antiqua"/>
          <w:sz w:val="20"/>
          <w:szCs w:val="20"/>
        </w:rPr>
        <w:t xml:space="preserve"> </w:t>
      </w:r>
      <w:r w:rsidRPr="006A751C">
        <w:rPr>
          <w:rFonts w:ascii="Book Antiqua" w:hAnsi="Book Antiqua"/>
          <w:sz w:val="20"/>
          <w:szCs w:val="20"/>
        </w:rPr>
        <w:t>that exceeds or is likely to exceed 10% of the total revenues or total expenses or total assets</w:t>
      </w:r>
      <w:r w:rsidRPr="006A751C">
        <w:rPr>
          <w:rFonts w:ascii="Book Antiqua" w:hAnsi="Book Antiqua"/>
          <w:sz w:val="20"/>
          <w:szCs w:val="20"/>
        </w:rPr>
        <w:t xml:space="preserve"> </w:t>
      </w:r>
      <w:r w:rsidRPr="006A751C">
        <w:rPr>
          <w:rFonts w:ascii="Book Antiqua" w:hAnsi="Book Antiqua"/>
          <w:sz w:val="20"/>
          <w:szCs w:val="20"/>
        </w:rPr>
        <w:t>or total liabilities, as the case may be, of the Material Unlisted Subsidiary for the immediately</w:t>
      </w:r>
      <w:r>
        <w:rPr>
          <w:rFonts w:ascii="Book Antiqua" w:hAnsi="Book Antiqua"/>
          <w:sz w:val="20"/>
          <w:szCs w:val="20"/>
        </w:rPr>
        <w:t xml:space="preserve"> </w:t>
      </w:r>
      <w:r w:rsidRPr="006A751C">
        <w:rPr>
          <w:rFonts w:ascii="Book Antiqua" w:hAnsi="Book Antiqua"/>
          <w:sz w:val="20"/>
          <w:szCs w:val="20"/>
        </w:rPr>
        <w:t>preceding accounting year.</w:t>
      </w:r>
    </w:p>
    <w:p w14:paraId="04F37C67" w14:textId="77777777" w:rsidR="006A751C" w:rsidRPr="006A751C" w:rsidRDefault="006A751C" w:rsidP="006A751C">
      <w:pPr>
        <w:pStyle w:val="ListParagraph"/>
        <w:numPr>
          <w:ilvl w:val="0"/>
          <w:numId w:val="6"/>
        </w:numPr>
        <w:spacing w:after="0"/>
        <w:ind w:right="-755"/>
        <w:jc w:val="both"/>
        <w:rPr>
          <w:rFonts w:ascii="Book Antiqua" w:hAnsi="Book Antiqua"/>
          <w:sz w:val="20"/>
          <w:szCs w:val="20"/>
        </w:rPr>
      </w:pPr>
      <w:r w:rsidRPr="006A751C">
        <w:rPr>
          <w:rFonts w:ascii="Book Antiqua" w:hAnsi="Book Antiqua"/>
          <w:sz w:val="20"/>
          <w:szCs w:val="20"/>
        </w:rPr>
        <w:t>Subsidiary” shall have the meaning given to it in the Companies Act, 2013.</w:t>
      </w:r>
    </w:p>
    <w:p w14:paraId="0A55B96A" w14:textId="463E64C4" w:rsidR="006A751C" w:rsidRPr="006A751C" w:rsidRDefault="006A751C" w:rsidP="006A751C">
      <w:pPr>
        <w:pStyle w:val="ListParagraph"/>
        <w:numPr>
          <w:ilvl w:val="0"/>
          <w:numId w:val="6"/>
        </w:numPr>
        <w:spacing w:after="0"/>
        <w:ind w:right="-755"/>
        <w:jc w:val="both"/>
        <w:rPr>
          <w:rFonts w:ascii="Book Antiqua" w:hAnsi="Book Antiqua"/>
          <w:sz w:val="20"/>
          <w:szCs w:val="20"/>
        </w:rPr>
      </w:pPr>
      <w:r w:rsidRPr="006A751C">
        <w:rPr>
          <w:rFonts w:ascii="Book Antiqua" w:hAnsi="Book Antiqua"/>
          <w:sz w:val="20"/>
          <w:szCs w:val="20"/>
        </w:rPr>
        <w:t>“Unlisted Subsidiary” means an unlisted Subsidiary of the Company.</w:t>
      </w:r>
    </w:p>
    <w:p w14:paraId="091B9682" w14:textId="77777777" w:rsidR="006A751C" w:rsidRDefault="006A751C" w:rsidP="00042586">
      <w:pPr>
        <w:spacing w:after="0"/>
        <w:ind w:right="-755"/>
        <w:jc w:val="both"/>
        <w:rPr>
          <w:rFonts w:ascii="Book Antiqua" w:hAnsi="Book Antiqua"/>
          <w:sz w:val="20"/>
          <w:szCs w:val="20"/>
        </w:rPr>
      </w:pPr>
    </w:p>
    <w:p w14:paraId="0B62B40F" w14:textId="77777777" w:rsidR="006A751C" w:rsidRDefault="006A751C" w:rsidP="006A751C">
      <w:pPr>
        <w:spacing w:after="0"/>
        <w:ind w:right="-755"/>
        <w:jc w:val="both"/>
        <w:rPr>
          <w:rFonts w:ascii="Book Antiqua" w:hAnsi="Book Antiqua"/>
          <w:sz w:val="20"/>
          <w:szCs w:val="20"/>
        </w:rPr>
      </w:pPr>
      <w:r w:rsidRPr="006A751C">
        <w:rPr>
          <w:rFonts w:ascii="Book Antiqua" w:hAnsi="Book Antiqua"/>
          <w:sz w:val="20"/>
          <w:szCs w:val="20"/>
        </w:rPr>
        <w:t>1. SIGNIFICANT TRANSACTIONS / ARRANGEMENTS OF UNLISTED SUBSIDIARY COMPANIES</w:t>
      </w:r>
    </w:p>
    <w:p w14:paraId="0ACD1093" w14:textId="77777777" w:rsidR="006A751C" w:rsidRPr="006A751C" w:rsidRDefault="006A751C" w:rsidP="006A751C">
      <w:pPr>
        <w:spacing w:after="0"/>
        <w:ind w:right="-755"/>
        <w:jc w:val="both"/>
        <w:rPr>
          <w:rFonts w:ascii="Book Antiqua" w:hAnsi="Book Antiqua"/>
          <w:sz w:val="20"/>
          <w:szCs w:val="20"/>
        </w:rPr>
      </w:pPr>
    </w:p>
    <w:p w14:paraId="28EB5FE5" w14:textId="6CF1A99B" w:rsidR="006A751C" w:rsidRDefault="006A751C" w:rsidP="006A751C">
      <w:pPr>
        <w:spacing w:after="0"/>
        <w:ind w:right="-755"/>
        <w:jc w:val="both"/>
        <w:rPr>
          <w:rFonts w:ascii="Book Antiqua" w:hAnsi="Book Antiqua"/>
          <w:sz w:val="20"/>
          <w:szCs w:val="20"/>
        </w:rPr>
      </w:pPr>
      <w:r w:rsidRPr="006A751C">
        <w:rPr>
          <w:rFonts w:ascii="Book Antiqua" w:hAnsi="Book Antiqua"/>
          <w:sz w:val="20"/>
          <w:szCs w:val="20"/>
        </w:rPr>
        <w:t>The management should periodically bring to the attention of the Board a statement of all</w:t>
      </w:r>
      <w:r>
        <w:rPr>
          <w:rFonts w:ascii="Book Antiqua" w:hAnsi="Book Antiqua"/>
          <w:sz w:val="20"/>
          <w:szCs w:val="20"/>
        </w:rPr>
        <w:t xml:space="preserve"> </w:t>
      </w:r>
      <w:r w:rsidRPr="006A751C">
        <w:rPr>
          <w:rFonts w:ascii="Book Antiqua" w:hAnsi="Book Antiqua"/>
          <w:sz w:val="20"/>
          <w:szCs w:val="20"/>
        </w:rPr>
        <w:t>Significant Transactions and Arrangements entered into by the Unlisted Subsidiary.</w:t>
      </w:r>
    </w:p>
    <w:p w14:paraId="5D85CE84" w14:textId="77777777" w:rsidR="006A751C" w:rsidRDefault="006A751C" w:rsidP="006A751C">
      <w:pPr>
        <w:spacing w:after="0"/>
        <w:ind w:right="-755"/>
        <w:jc w:val="both"/>
        <w:rPr>
          <w:rFonts w:ascii="Book Antiqua" w:hAnsi="Book Antiqua"/>
          <w:sz w:val="20"/>
          <w:szCs w:val="20"/>
        </w:rPr>
      </w:pPr>
    </w:p>
    <w:p w14:paraId="1BB5A939" w14:textId="77777777" w:rsidR="006A751C" w:rsidRPr="006A751C" w:rsidRDefault="006A751C" w:rsidP="006A751C">
      <w:pPr>
        <w:spacing w:after="0"/>
        <w:ind w:right="-755"/>
        <w:jc w:val="both"/>
        <w:rPr>
          <w:rFonts w:ascii="Book Antiqua" w:hAnsi="Book Antiqua"/>
          <w:sz w:val="20"/>
          <w:szCs w:val="20"/>
        </w:rPr>
      </w:pPr>
      <w:r w:rsidRPr="006A751C">
        <w:rPr>
          <w:rFonts w:ascii="Book Antiqua" w:hAnsi="Book Antiqua"/>
          <w:sz w:val="20"/>
          <w:szCs w:val="20"/>
        </w:rPr>
        <w:t>2. RESTRICTION ON DISPOSAL OF SHARES OF MATERIAL SUBSIDIARY BY THE COMPANY</w:t>
      </w:r>
    </w:p>
    <w:p w14:paraId="7F2E40B7" w14:textId="77777777" w:rsidR="006A751C" w:rsidRDefault="006A751C" w:rsidP="006A751C">
      <w:pPr>
        <w:spacing w:after="0"/>
        <w:ind w:right="-755"/>
        <w:jc w:val="both"/>
        <w:rPr>
          <w:rFonts w:ascii="Book Antiqua" w:hAnsi="Book Antiqua"/>
          <w:sz w:val="20"/>
          <w:szCs w:val="20"/>
        </w:rPr>
      </w:pPr>
    </w:p>
    <w:p w14:paraId="40B86A92" w14:textId="28B692E6" w:rsidR="006A751C" w:rsidRPr="006A751C" w:rsidRDefault="006A751C" w:rsidP="006A751C">
      <w:pPr>
        <w:spacing w:after="0"/>
        <w:ind w:right="-755"/>
        <w:jc w:val="both"/>
        <w:rPr>
          <w:rFonts w:ascii="Book Antiqua" w:hAnsi="Book Antiqua"/>
          <w:sz w:val="20"/>
          <w:szCs w:val="20"/>
        </w:rPr>
      </w:pPr>
      <w:r w:rsidRPr="006A751C">
        <w:rPr>
          <w:rFonts w:ascii="Book Antiqua" w:hAnsi="Book Antiqua"/>
          <w:sz w:val="20"/>
          <w:szCs w:val="20"/>
        </w:rPr>
        <w:t>The Company shall not dispose of shares in its Material Subsidiary which would reduce its</w:t>
      </w:r>
      <w:r>
        <w:rPr>
          <w:rFonts w:ascii="Book Antiqua" w:hAnsi="Book Antiqua"/>
          <w:sz w:val="20"/>
          <w:szCs w:val="20"/>
        </w:rPr>
        <w:t xml:space="preserve"> </w:t>
      </w:r>
      <w:r w:rsidRPr="006A751C">
        <w:rPr>
          <w:rFonts w:ascii="Book Antiqua" w:hAnsi="Book Antiqua"/>
          <w:sz w:val="20"/>
          <w:szCs w:val="20"/>
        </w:rPr>
        <w:t>shareholding (either on its own or together with other Subsidiaries) to less than fifty percent (50%)</w:t>
      </w:r>
      <w:r>
        <w:rPr>
          <w:rFonts w:ascii="Book Antiqua" w:hAnsi="Book Antiqua"/>
          <w:sz w:val="20"/>
          <w:szCs w:val="20"/>
        </w:rPr>
        <w:t xml:space="preserve"> </w:t>
      </w:r>
      <w:r w:rsidRPr="006A751C">
        <w:rPr>
          <w:rFonts w:ascii="Book Antiqua" w:hAnsi="Book Antiqua"/>
          <w:sz w:val="20"/>
          <w:szCs w:val="20"/>
        </w:rPr>
        <w:t>or cease the exercise of control over the subsidiary without passing a special resolution in a</w:t>
      </w:r>
      <w:r>
        <w:rPr>
          <w:rFonts w:ascii="Book Antiqua" w:hAnsi="Book Antiqua"/>
          <w:sz w:val="20"/>
          <w:szCs w:val="20"/>
        </w:rPr>
        <w:t xml:space="preserve"> </w:t>
      </w:r>
      <w:r w:rsidRPr="006A751C">
        <w:rPr>
          <w:rFonts w:ascii="Book Antiqua" w:hAnsi="Book Antiqua"/>
          <w:sz w:val="20"/>
          <w:szCs w:val="20"/>
        </w:rPr>
        <w:t>general meeting of its shareholders except in cases where such divestment is made under a</w:t>
      </w:r>
      <w:r>
        <w:rPr>
          <w:rFonts w:ascii="Book Antiqua" w:hAnsi="Book Antiqua"/>
          <w:sz w:val="20"/>
          <w:szCs w:val="20"/>
        </w:rPr>
        <w:t xml:space="preserve"> </w:t>
      </w:r>
      <w:r w:rsidRPr="006A751C">
        <w:rPr>
          <w:rFonts w:ascii="Book Antiqua" w:hAnsi="Book Antiqua"/>
          <w:sz w:val="20"/>
          <w:szCs w:val="20"/>
        </w:rPr>
        <w:t>scheme of arrangement duly approved by a court/tribunal.</w:t>
      </w:r>
    </w:p>
    <w:p w14:paraId="30C3F17F" w14:textId="77777777" w:rsidR="006A751C" w:rsidRDefault="006A751C">
      <w:pPr>
        <w:rPr>
          <w:rFonts w:ascii="Book Antiqua" w:hAnsi="Book Antiqua"/>
          <w:sz w:val="20"/>
          <w:szCs w:val="20"/>
        </w:rPr>
      </w:pPr>
      <w:r>
        <w:rPr>
          <w:rFonts w:ascii="Book Antiqua" w:hAnsi="Book Antiqua"/>
          <w:sz w:val="20"/>
          <w:szCs w:val="20"/>
        </w:rPr>
        <w:br w:type="page"/>
      </w:r>
    </w:p>
    <w:p w14:paraId="7DDD4498" w14:textId="0241C8E0" w:rsidR="006A751C" w:rsidRPr="006A751C" w:rsidRDefault="006A751C" w:rsidP="006A751C">
      <w:pPr>
        <w:spacing w:after="0"/>
        <w:ind w:right="-755"/>
        <w:jc w:val="both"/>
        <w:rPr>
          <w:rFonts w:ascii="Book Antiqua" w:hAnsi="Book Antiqua"/>
          <w:sz w:val="20"/>
          <w:szCs w:val="20"/>
        </w:rPr>
      </w:pPr>
      <w:r w:rsidRPr="006A751C">
        <w:rPr>
          <w:rFonts w:ascii="Book Antiqua" w:hAnsi="Book Antiqua"/>
          <w:sz w:val="20"/>
          <w:szCs w:val="20"/>
        </w:rPr>
        <w:lastRenderedPageBreak/>
        <w:t>3. RESTRICTION ON DISPOSAL OF ITS ASSETS OF MATERIAL SUBSIDIARY</w:t>
      </w:r>
    </w:p>
    <w:p w14:paraId="4A47500F" w14:textId="77777777" w:rsidR="006A751C" w:rsidRDefault="006A751C" w:rsidP="006A751C">
      <w:pPr>
        <w:spacing w:after="0"/>
        <w:ind w:right="-755"/>
        <w:jc w:val="both"/>
        <w:rPr>
          <w:rFonts w:ascii="Book Antiqua" w:hAnsi="Book Antiqua"/>
          <w:sz w:val="20"/>
          <w:szCs w:val="20"/>
        </w:rPr>
      </w:pPr>
    </w:p>
    <w:p w14:paraId="3B2F68F5" w14:textId="7D79F209" w:rsidR="006A751C" w:rsidRDefault="006A751C" w:rsidP="006A751C">
      <w:pPr>
        <w:spacing w:after="0"/>
        <w:ind w:right="-755"/>
        <w:jc w:val="both"/>
        <w:rPr>
          <w:rFonts w:ascii="Book Antiqua" w:hAnsi="Book Antiqua"/>
          <w:sz w:val="20"/>
          <w:szCs w:val="20"/>
        </w:rPr>
      </w:pPr>
      <w:r w:rsidRPr="006A751C">
        <w:rPr>
          <w:rFonts w:ascii="Book Antiqua" w:hAnsi="Book Antiqua"/>
          <w:sz w:val="20"/>
          <w:szCs w:val="20"/>
        </w:rPr>
        <w:t>Selling, disposing and leasing of assets amounting to more than twenty percent (20%) of the assets</w:t>
      </w:r>
      <w:r>
        <w:rPr>
          <w:rFonts w:ascii="Book Antiqua" w:hAnsi="Book Antiqua"/>
          <w:sz w:val="20"/>
          <w:szCs w:val="20"/>
        </w:rPr>
        <w:t xml:space="preserve"> </w:t>
      </w:r>
      <w:r w:rsidRPr="006A751C">
        <w:rPr>
          <w:rFonts w:ascii="Book Antiqua" w:hAnsi="Book Antiqua"/>
          <w:sz w:val="20"/>
          <w:szCs w:val="20"/>
        </w:rPr>
        <w:t>of the Material Subsidiary on an aggregate basis during a financial year shall require prior approval</w:t>
      </w:r>
      <w:r>
        <w:rPr>
          <w:rFonts w:ascii="Book Antiqua" w:hAnsi="Book Antiqua"/>
          <w:sz w:val="20"/>
          <w:szCs w:val="20"/>
        </w:rPr>
        <w:t xml:space="preserve"> </w:t>
      </w:r>
      <w:r w:rsidRPr="006A751C">
        <w:rPr>
          <w:rFonts w:ascii="Book Antiqua" w:hAnsi="Book Antiqua"/>
          <w:sz w:val="20"/>
          <w:szCs w:val="20"/>
        </w:rPr>
        <w:t>of shareholders of the Company by way of special resolution unless the sale/disposal/lease is</w:t>
      </w:r>
      <w:r>
        <w:rPr>
          <w:rFonts w:ascii="Book Antiqua" w:hAnsi="Book Antiqua"/>
          <w:sz w:val="20"/>
          <w:szCs w:val="20"/>
        </w:rPr>
        <w:t xml:space="preserve"> </w:t>
      </w:r>
      <w:r w:rsidRPr="006A751C">
        <w:rPr>
          <w:rFonts w:ascii="Book Antiqua" w:hAnsi="Book Antiqua"/>
          <w:sz w:val="20"/>
          <w:szCs w:val="20"/>
        </w:rPr>
        <w:t>made under a scheme of arrangement duly approved by a court/tribunal.</w:t>
      </w:r>
    </w:p>
    <w:p w14:paraId="57183961" w14:textId="77777777" w:rsidR="006A751C" w:rsidRDefault="006A751C" w:rsidP="006A751C">
      <w:pPr>
        <w:spacing w:after="0"/>
        <w:ind w:right="-755"/>
        <w:jc w:val="both"/>
        <w:rPr>
          <w:rFonts w:ascii="Book Antiqua" w:hAnsi="Book Antiqua"/>
          <w:sz w:val="20"/>
          <w:szCs w:val="20"/>
        </w:rPr>
      </w:pPr>
    </w:p>
    <w:p w14:paraId="436A7ABC" w14:textId="77777777" w:rsidR="006A751C" w:rsidRPr="006A751C" w:rsidRDefault="006A751C" w:rsidP="006A751C">
      <w:pPr>
        <w:spacing w:after="0"/>
        <w:ind w:right="-755"/>
        <w:jc w:val="both"/>
        <w:rPr>
          <w:rFonts w:ascii="Book Antiqua" w:hAnsi="Book Antiqua"/>
          <w:sz w:val="20"/>
          <w:szCs w:val="20"/>
        </w:rPr>
      </w:pPr>
      <w:r w:rsidRPr="006A751C">
        <w:rPr>
          <w:rFonts w:ascii="Book Antiqua" w:hAnsi="Book Antiqua"/>
          <w:sz w:val="20"/>
          <w:szCs w:val="20"/>
        </w:rPr>
        <w:t>4. OTHER PROVISION RELATED TO UNLISTED SUBSIDIARY/ MATERIAL UNLISTED SUBSIDIARY</w:t>
      </w:r>
    </w:p>
    <w:p w14:paraId="4F917014" w14:textId="77777777" w:rsidR="006A751C" w:rsidRDefault="006A751C" w:rsidP="006A751C">
      <w:pPr>
        <w:pStyle w:val="ListParagraph"/>
        <w:numPr>
          <w:ilvl w:val="0"/>
          <w:numId w:val="7"/>
        </w:numPr>
        <w:spacing w:after="0"/>
        <w:ind w:right="-755"/>
        <w:jc w:val="both"/>
        <w:rPr>
          <w:rFonts w:ascii="Book Antiqua" w:hAnsi="Book Antiqua"/>
          <w:sz w:val="20"/>
          <w:szCs w:val="20"/>
        </w:rPr>
      </w:pPr>
      <w:r w:rsidRPr="006A751C">
        <w:rPr>
          <w:rFonts w:ascii="Book Antiqua" w:hAnsi="Book Antiqua"/>
          <w:sz w:val="20"/>
          <w:szCs w:val="20"/>
        </w:rPr>
        <w:t>The Audit Committee of the holding company shall also review the financial statements, in</w:t>
      </w:r>
      <w:r w:rsidRPr="006A751C">
        <w:rPr>
          <w:rFonts w:ascii="Book Antiqua" w:hAnsi="Book Antiqua"/>
          <w:sz w:val="20"/>
          <w:szCs w:val="20"/>
        </w:rPr>
        <w:t xml:space="preserve"> </w:t>
      </w:r>
      <w:r w:rsidRPr="006A751C">
        <w:rPr>
          <w:rFonts w:ascii="Book Antiqua" w:hAnsi="Book Antiqua"/>
          <w:sz w:val="20"/>
          <w:szCs w:val="20"/>
        </w:rPr>
        <w:t>particular, the investments made by the Unlisted Subsidiary.</w:t>
      </w:r>
    </w:p>
    <w:p w14:paraId="535C7CEF" w14:textId="77777777" w:rsidR="006A751C" w:rsidRDefault="006A751C" w:rsidP="006A751C">
      <w:pPr>
        <w:pStyle w:val="ListParagraph"/>
        <w:numPr>
          <w:ilvl w:val="0"/>
          <w:numId w:val="7"/>
        </w:numPr>
        <w:spacing w:after="0"/>
        <w:ind w:right="-755"/>
        <w:jc w:val="both"/>
        <w:rPr>
          <w:rFonts w:ascii="Book Antiqua" w:hAnsi="Book Antiqua"/>
          <w:sz w:val="20"/>
          <w:szCs w:val="20"/>
        </w:rPr>
      </w:pPr>
      <w:r w:rsidRPr="006A751C">
        <w:rPr>
          <w:rFonts w:ascii="Book Antiqua" w:hAnsi="Book Antiqua"/>
          <w:sz w:val="20"/>
          <w:szCs w:val="20"/>
        </w:rPr>
        <w:t>The minutes of the Board meetings of the Unlisted Subsidiary shall be placed at the Board</w:t>
      </w:r>
      <w:r>
        <w:rPr>
          <w:rFonts w:ascii="Book Antiqua" w:hAnsi="Book Antiqua"/>
          <w:sz w:val="20"/>
          <w:szCs w:val="20"/>
        </w:rPr>
        <w:t xml:space="preserve"> </w:t>
      </w:r>
      <w:r w:rsidRPr="006A751C">
        <w:rPr>
          <w:rFonts w:ascii="Book Antiqua" w:hAnsi="Book Antiqua"/>
          <w:sz w:val="20"/>
          <w:szCs w:val="20"/>
        </w:rPr>
        <w:t>meeting of the Company.</w:t>
      </w:r>
    </w:p>
    <w:p w14:paraId="328F9D26" w14:textId="77777777" w:rsidR="006A751C" w:rsidRDefault="006A751C" w:rsidP="006A751C">
      <w:pPr>
        <w:pStyle w:val="ListParagraph"/>
        <w:numPr>
          <w:ilvl w:val="0"/>
          <w:numId w:val="7"/>
        </w:numPr>
        <w:spacing w:after="0"/>
        <w:ind w:right="-755"/>
        <w:jc w:val="both"/>
        <w:rPr>
          <w:rFonts w:ascii="Book Antiqua" w:hAnsi="Book Antiqua"/>
          <w:sz w:val="20"/>
          <w:szCs w:val="20"/>
        </w:rPr>
      </w:pPr>
      <w:r w:rsidRPr="006A751C">
        <w:rPr>
          <w:rFonts w:ascii="Book Antiqua" w:hAnsi="Book Antiqua"/>
          <w:sz w:val="20"/>
          <w:szCs w:val="20"/>
        </w:rPr>
        <w:t>At least one Independent Director of the Company shall be a director of the board of a</w:t>
      </w:r>
      <w:r>
        <w:rPr>
          <w:rFonts w:ascii="Book Antiqua" w:hAnsi="Book Antiqua"/>
          <w:sz w:val="20"/>
          <w:szCs w:val="20"/>
        </w:rPr>
        <w:t xml:space="preserve"> </w:t>
      </w:r>
      <w:r w:rsidRPr="006A751C">
        <w:rPr>
          <w:rFonts w:ascii="Book Antiqua" w:hAnsi="Book Antiqua"/>
          <w:sz w:val="20"/>
          <w:szCs w:val="20"/>
        </w:rPr>
        <w:t>Material Unlisted Subsidiary.</w:t>
      </w:r>
    </w:p>
    <w:p w14:paraId="5121B9AD" w14:textId="3932452D" w:rsidR="006A751C" w:rsidRDefault="006A751C" w:rsidP="006A751C">
      <w:pPr>
        <w:pStyle w:val="ListParagraph"/>
        <w:numPr>
          <w:ilvl w:val="0"/>
          <w:numId w:val="7"/>
        </w:numPr>
        <w:spacing w:after="0"/>
        <w:ind w:right="-755"/>
        <w:jc w:val="both"/>
        <w:rPr>
          <w:rFonts w:ascii="Book Antiqua" w:hAnsi="Book Antiqua"/>
          <w:sz w:val="20"/>
          <w:szCs w:val="20"/>
        </w:rPr>
      </w:pPr>
      <w:r w:rsidRPr="006A751C">
        <w:rPr>
          <w:rFonts w:ascii="Book Antiqua" w:hAnsi="Book Antiqua"/>
          <w:sz w:val="20"/>
          <w:szCs w:val="20"/>
        </w:rPr>
        <w:t>The management of the Company shall annually present to the Audit Committee of the</w:t>
      </w:r>
      <w:r w:rsidRPr="006A751C">
        <w:rPr>
          <w:rFonts w:ascii="Book Antiqua" w:hAnsi="Book Antiqua"/>
          <w:sz w:val="20"/>
          <w:szCs w:val="20"/>
        </w:rPr>
        <w:t xml:space="preserve"> </w:t>
      </w:r>
      <w:r w:rsidRPr="006A751C">
        <w:rPr>
          <w:rFonts w:ascii="Book Antiqua" w:hAnsi="Book Antiqua"/>
          <w:sz w:val="20"/>
          <w:szCs w:val="20"/>
        </w:rPr>
        <w:t>Company the list of Material Subsidiaries. The Audit Committee of the Company shall review</w:t>
      </w:r>
      <w:r>
        <w:rPr>
          <w:rFonts w:ascii="Book Antiqua" w:hAnsi="Book Antiqua"/>
          <w:sz w:val="20"/>
          <w:szCs w:val="20"/>
        </w:rPr>
        <w:t xml:space="preserve"> </w:t>
      </w:r>
      <w:r w:rsidRPr="006A751C">
        <w:rPr>
          <w:rFonts w:ascii="Book Antiqua" w:hAnsi="Book Antiqua"/>
          <w:sz w:val="20"/>
          <w:szCs w:val="20"/>
        </w:rPr>
        <w:t>the same and makes suitable recommendations to the Board.</w:t>
      </w:r>
    </w:p>
    <w:p w14:paraId="59FAA14F" w14:textId="77777777" w:rsidR="006A751C" w:rsidRDefault="006A751C" w:rsidP="006A751C">
      <w:pPr>
        <w:spacing w:after="0"/>
        <w:ind w:right="-755"/>
        <w:jc w:val="both"/>
        <w:rPr>
          <w:rFonts w:ascii="Book Antiqua" w:hAnsi="Book Antiqua"/>
          <w:sz w:val="20"/>
          <w:szCs w:val="20"/>
        </w:rPr>
      </w:pPr>
    </w:p>
    <w:p w14:paraId="2CE309A3" w14:textId="77777777" w:rsidR="006A751C" w:rsidRDefault="006A751C" w:rsidP="006A751C">
      <w:pPr>
        <w:spacing w:after="0"/>
        <w:ind w:right="-755"/>
        <w:jc w:val="both"/>
        <w:rPr>
          <w:rFonts w:ascii="Book Antiqua" w:hAnsi="Book Antiqua"/>
          <w:sz w:val="20"/>
          <w:szCs w:val="20"/>
        </w:rPr>
      </w:pPr>
      <w:r w:rsidRPr="006A751C">
        <w:rPr>
          <w:rFonts w:ascii="Book Antiqua" w:hAnsi="Book Antiqua"/>
          <w:sz w:val="20"/>
          <w:szCs w:val="20"/>
        </w:rPr>
        <w:t xml:space="preserve">5. AMENDMENTS </w:t>
      </w:r>
    </w:p>
    <w:p w14:paraId="104D6651" w14:textId="77777777" w:rsidR="006A751C" w:rsidRDefault="006A751C" w:rsidP="006A751C">
      <w:pPr>
        <w:spacing w:after="0"/>
        <w:ind w:right="-755"/>
        <w:jc w:val="both"/>
        <w:rPr>
          <w:rFonts w:ascii="Book Antiqua" w:hAnsi="Book Antiqua"/>
          <w:sz w:val="20"/>
          <w:szCs w:val="20"/>
        </w:rPr>
      </w:pPr>
    </w:p>
    <w:p w14:paraId="13911885" w14:textId="1CF579C6" w:rsidR="006A751C" w:rsidRPr="006A751C" w:rsidRDefault="006A751C" w:rsidP="006A751C">
      <w:pPr>
        <w:spacing w:after="0"/>
        <w:ind w:right="-755"/>
        <w:jc w:val="both"/>
        <w:rPr>
          <w:rFonts w:ascii="Book Antiqua" w:hAnsi="Book Antiqua"/>
          <w:sz w:val="20"/>
          <w:szCs w:val="20"/>
        </w:rPr>
      </w:pPr>
      <w:r w:rsidRPr="006A751C">
        <w:rPr>
          <w:rFonts w:ascii="Book Antiqua" w:hAnsi="Book Antiqua"/>
          <w:sz w:val="20"/>
          <w:szCs w:val="20"/>
        </w:rPr>
        <w:t>The Board of the Company (including the Audit Committee of the Board) may amend the policy from time to time depending upon the requirements of the provisions of the Companies Act, 2013 and as per the Listing Regulation.</w:t>
      </w:r>
    </w:p>
    <w:sectPr w:rsidR="006A751C" w:rsidRPr="006A751C" w:rsidSect="006A751C">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E7C"/>
    <w:multiLevelType w:val="hybridMultilevel"/>
    <w:tmpl w:val="415E39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6AC500F"/>
    <w:multiLevelType w:val="hybridMultilevel"/>
    <w:tmpl w:val="5BC4C3AE"/>
    <w:lvl w:ilvl="0" w:tplc="0F3487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4943D4"/>
    <w:multiLevelType w:val="hybridMultilevel"/>
    <w:tmpl w:val="C0E47E8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497371"/>
    <w:multiLevelType w:val="hybridMultilevel"/>
    <w:tmpl w:val="11AAE9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9D639B6"/>
    <w:multiLevelType w:val="hybridMultilevel"/>
    <w:tmpl w:val="9304911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0C0BB2"/>
    <w:multiLevelType w:val="hybridMultilevel"/>
    <w:tmpl w:val="C11C00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9213939"/>
    <w:multiLevelType w:val="hybridMultilevel"/>
    <w:tmpl w:val="1B305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46881041">
    <w:abstractNumId w:val="6"/>
  </w:num>
  <w:num w:numId="2" w16cid:durableId="2112970457">
    <w:abstractNumId w:val="0"/>
  </w:num>
  <w:num w:numId="3" w16cid:durableId="972977263">
    <w:abstractNumId w:val="3"/>
  </w:num>
  <w:num w:numId="4" w16cid:durableId="1469010554">
    <w:abstractNumId w:val="5"/>
  </w:num>
  <w:num w:numId="5" w16cid:durableId="1581325637">
    <w:abstractNumId w:val="1"/>
  </w:num>
  <w:num w:numId="6" w16cid:durableId="1241912829">
    <w:abstractNumId w:val="2"/>
  </w:num>
  <w:num w:numId="7" w16cid:durableId="1769931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DD"/>
    <w:rsid w:val="00042586"/>
    <w:rsid w:val="000C7B8A"/>
    <w:rsid w:val="001669ED"/>
    <w:rsid w:val="002355C1"/>
    <w:rsid w:val="00343DA3"/>
    <w:rsid w:val="00371C9A"/>
    <w:rsid w:val="004659BE"/>
    <w:rsid w:val="004700DD"/>
    <w:rsid w:val="0049155F"/>
    <w:rsid w:val="0051709A"/>
    <w:rsid w:val="006A751C"/>
    <w:rsid w:val="00C61EA9"/>
    <w:rsid w:val="00CA56AB"/>
    <w:rsid w:val="00CC4EEA"/>
    <w:rsid w:val="00DF7DFC"/>
    <w:rsid w:val="00E05C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40FD"/>
  <w15:chartTrackingRefBased/>
  <w15:docId w15:val="{9860441F-96BA-413A-8549-4F3D47FD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0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700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700D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700D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700D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70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0D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700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700D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700D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700D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70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DD"/>
    <w:rPr>
      <w:rFonts w:eastAsiaTheme="majorEastAsia" w:cstheme="majorBidi"/>
      <w:color w:val="272727" w:themeColor="text1" w:themeTint="D8"/>
    </w:rPr>
  </w:style>
  <w:style w:type="paragraph" w:styleId="Title">
    <w:name w:val="Title"/>
    <w:basedOn w:val="Normal"/>
    <w:next w:val="Normal"/>
    <w:link w:val="TitleChar"/>
    <w:uiPriority w:val="10"/>
    <w:qFormat/>
    <w:rsid w:val="00470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DD"/>
    <w:pPr>
      <w:spacing w:before="160"/>
      <w:jc w:val="center"/>
    </w:pPr>
    <w:rPr>
      <w:i/>
      <w:iCs/>
      <w:color w:val="404040" w:themeColor="text1" w:themeTint="BF"/>
    </w:rPr>
  </w:style>
  <w:style w:type="character" w:customStyle="1" w:styleId="QuoteChar">
    <w:name w:val="Quote Char"/>
    <w:basedOn w:val="DefaultParagraphFont"/>
    <w:link w:val="Quote"/>
    <w:uiPriority w:val="29"/>
    <w:rsid w:val="004700DD"/>
    <w:rPr>
      <w:i/>
      <w:iCs/>
      <w:color w:val="404040" w:themeColor="text1" w:themeTint="BF"/>
    </w:rPr>
  </w:style>
  <w:style w:type="paragraph" w:styleId="ListParagraph">
    <w:name w:val="List Paragraph"/>
    <w:basedOn w:val="Normal"/>
    <w:uiPriority w:val="34"/>
    <w:qFormat/>
    <w:rsid w:val="004700DD"/>
    <w:pPr>
      <w:ind w:left="720"/>
      <w:contextualSpacing/>
    </w:pPr>
  </w:style>
  <w:style w:type="character" w:styleId="IntenseEmphasis">
    <w:name w:val="Intense Emphasis"/>
    <w:basedOn w:val="DefaultParagraphFont"/>
    <w:uiPriority w:val="21"/>
    <w:qFormat/>
    <w:rsid w:val="004700DD"/>
    <w:rPr>
      <w:i/>
      <w:iCs/>
      <w:color w:val="2E74B5" w:themeColor="accent1" w:themeShade="BF"/>
    </w:rPr>
  </w:style>
  <w:style w:type="paragraph" w:styleId="IntenseQuote">
    <w:name w:val="Intense Quote"/>
    <w:basedOn w:val="Normal"/>
    <w:next w:val="Normal"/>
    <w:link w:val="IntenseQuoteChar"/>
    <w:uiPriority w:val="30"/>
    <w:qFormat/>
    <w:rsid w:val="004700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700DD"/>
    <w:rPr>
      <w:i/>
      <w:iCs/>
      <w:color w:val="2E74B5" w:themeColor="accent1" w:themeShade="BF"/>
    </w:rPr>
  </w:style>
  <w:style w:type="character" w:styleId="IntenseReference">
    <w:name w:val="Intense Reference"/>
    <w:basedOn w:val="DefaultParagraphFont"/>
    <w:uiPriority w:val="32"/>
    <w:qFormat/>
    <w:rsid w:val="004700DD"/>
    <w:rPr>
      <w:b/>
      <w:bCs/>
      <w:smallCaps/>
      <w:color w:val="2E74B5" w:themeColor="accent1" w:themeShade="BF"/>
      <w:spacing w:val="5"/>
    </w:rPr>
  </w:style>
  <w:style w:type="character" w:styleId="Hyperlink">
    <w:name w:val="Hyperlink"/>
    <w:basedOn w:val="DefaultParagraphFont"/>
    <w:uiPriority w:val="99"/>
    <w:unhideWhenUsed/>
    <w:rsid w:val="00042586"/>
    <w:rPr>
      <w:color w:val="0563C1" w:themeColor="hyperlink"/>
      <w:u w:val="single"/>
    </w:rPr>
  </w:style>
  <w:style w:type="character" w:styleId="UnresolvedMention">
    <w:name w:val="Unresolved Mention"/>
    <w:basedOn w:val="DefaultParagraphFont"/>
    <w:uiPriority w:val="99"/>
    <w:semiHidden/>
    <w:unhideWhenUsed/>
    <w:rsid w:val="00042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JSG Singapore</dc:creator>
  <cp:keywords/>
  <dc:description/>
  <cp:lastModifiedBy>JSG Singapore</cp:lastModifiedBy>
  <cp:revision>10</cp:revision>
  <dcterms:created xsi:type="dcterms:W3CDTF">2026-01-28T13:47:00Z</dcterms:created>
  <dcterms:modified xsi:type="dcterms:W3CDTF">2026-01-29T08:15:00Z</dcterms:modified>
</cp:coreProperties>
</file>